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rPr>
          <w:rFonts w:ascii="Times New Roman" w:hAnsi="Times New Roman" w:cs="Times New Roman"/>
          <w:sz w:val="24"/>
        </w:rPr>
      </w:pPr>
    </w:p>
    <w:p w:rsidR="00CE3954" w:rsidRPr="00CE3954" w:rsidP="00CE3954">
      <w:pPr>
        <w:spacing w:after="0" w:line="480" w:lineRule="auto"/>
        <w:jc w:val="center"/>
        <w:rPr>
          <w:rFonts w:ascii="Times New Roman" w:hAnsi="Times New Roman" w:cs="Times New Roman"/>
          <w:sz w:val="24"/>
        </w:rPr>
      </w:pPr>
      <w:r w:rsidRPr="00CE3954">
        <w:rPr>
          <w:rFonts w:ascii="Times New Roman" w:hAnsi="Times New Roman" w:cs="Times New Roman"/>
          <w:sz w:val="24"/>
        </w:rPr>
        <w:t>Coca-Col</w:t>
      </w:r>
      <w:r>
        <w:rPr>
          <w:rFonts w:ascii="Times New Roman" w:hAnsi="Times New Roman" w:cs="Times New Roman"/>
          <w:sz w:val="24"/>
        </w:rPr>
        <w:t>a Supply Chain Characteristics a</w:t>
      </w:r>
      <w:r w:rsidRPr="00CE3954">
        <w:rPr>
          <w:rFonts w:ascii="Times New Roman" w:hAnsi="Times New Roman" w:cs="Times New Roman"/>
          <w:sz w:val="24"/>
        </w:rPr>
        <w:t>nd Recommendation</w:t>
      </w:r>
      <w:r>
        <w:rPr>
          <w:rFonts w:ascii="Times New Roman" w:hAnsi="Times New Roman" w:cs="Times New Roman"/>
          <w:sz w:val="24"/>
        </w:rPr>
        <w:t>s</w:t>
      </w:r>
    </w:p>
    <w:p w:rsidR="00CE3954" w:rsidRPr="00CE3954" w:rsidP="00CE3954">
      <w:pPr>
        <w:spacing w:after="0" w:line="480" w:lineRule="auto"/>
        <w:jc w:val="center"/>
        <w:rPr>
          <w:rFonts w:ascii="Times New Roman" w:hAnsi="Times New Roman" w:cs="Times New Roman"/>
          <w:sz w:val="24"/>
        </w:rPr>
      </w:pPr>
      <w:r w:rsidRPr="00CE3954">
        <w:rPr>
          <w:rFonts w:ascii="Times New Roman" w:hAnsi="Times New Roman" w:cs="Times New Roman"/>
          <w:sz w:val="24"/>
        </w:rPr>
        <w:t>Name of Student</w:t>
      </w:r>
    </w:p>
    <w:p w:rsidR="00CE3954" w:rsidRPr="00CE3954" w:rsidP="00CE3954">
      <w:pPr>
        <w:spacing w:after="0" w:line="480" w:lineRule="auto"/>
        <w:jc w:val="center"/>
        <w:rPr>
          <w:rFonts w:ascii="Times New Roman" w:hAnsi="Times New Roman" w:cs="Times New Roman"/>
          <w:sz w:val="24"/>
        </w:rPr>
      </w:pPr>
      <w:r w:rsidRPr="00CE3954">
        <w:rPr>
          <w:rFonts w:ascii="Times New Roman" w:hAnsi="Times New Roman" w:cs="Times New Roman"/>
          <w:sz w:val="24"/>
        </w:rPr>
        <w:t>Name of Institution</w:t>
      </w:r>
    </w:p>
    <w:p w:rsidR="00CE3954" w:rsidRPr="00CE3954" w:rsidP="00CE3954">
      <w:pPr>
        <w:spacing w:after="0" w:line="480" w:lineRule="auto"/>
        <w:jc w:val="center"/>
        <w:rPr>
          <w:rFonts w:ascii="Times New Roman" w:hAnsi="Times New Roman" w:cs="Times New Roman"/>
          <w:sz w:val="24"/>
        </w:rPr>
      </w:pPr>
      <w:r w:rsidRPr="00CE3954">
        <w:rPr>
          <w:rFonts w:ascii="Times New Roman" w:hAnsi="Times New Roman" w:cs="Times New Roman"/>
          <w:sz w:val="24"/>
        </w:rPr>
        <w:t xml:space="preserve">Date </w:t>
      </w:r>
      <w:r w:rsidRPr="00CE3954">
        <w:rPr>
          <w:rFonts w:ascii="Times New Roman" w:hAnsi="Times New Roman" w:cs="Times New Roman"/>
          <w:sz w:val="24"/>
        </w:rPr>
        <w:br w:type="page"/>
      </w:r>
    </w:p>
    <w:p w:rsidR="00AA02C1"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The corporate operations </w:t>
      </w:r>
      <w:r w:rsidRPr="00CE3954" w:rsidR="0056474D">
        <w:rPr>
          <w:rFonts w:ascii="Times New Roman" w:hAnsi="Times New Roman" w:cs="Times New Roman"/>
          <w:sz w:val="24"/>
        </w:rPr>
        <w:t xml:space="preserve">of the supply chain for Coca-Cola </w:t>
      </w:r>
      <w:r w:rsidRPr="00CE3954">
        <w:rPr>
          <w:rFonts w:ascii="Times New Roman" w:hAnsi="Times New Roman" w:cs="Times New Roman"/>
          <w:sz w:val="24"/>
        </w:rPr>
        <w:t>involve manufacturing, logistics, and retailing their various beverages brands. As from the year 1889, Coca-Cola engages in a franchised distribution system</w:t>
      </w:r>
      <w:r w:rsidR="00CE3954">
        <w:rPr>
          <w:rFonts w:ascii="Times New Roman" w:hAnsi="Times New Roman" w:cs="Times New Roman"/>
          <w:sz w:val="24"/>
        </w:rPr>
        <w:t xml:space="preserve"> (</w:t>
      </w:r>
      <w:r w:rsidR="00CE3954">
        <w:rPr>
          <w:rFonts w:ascii="Times New Roman" w:hAnsi="Times New Roman" w:cs="Times New Roman"/>
          <w:sz w:val="24"/>
        </w:rPr>
        <w:t>Pendergrast</w:t>
      </w:r>
      <w:r w:rsidR="00CE3954">
        <w:rPr>
          <w:rFonts w:ascii="Times New Roman" w:hAnsi="Times New Roman" w:cs="Times New Roman"/>
          <w:sz w:val="24"/>
        </w:rPr>
        <w:t>, 2013)</w:t>
      </w:r>
      <w:r w:rsidRPr="00CE3954">
        <w:rPr>
          <w:rFonts w:ascii="Times New Roman" w:hAnsi="Times New Roman" w:cs="Times New Roman"/>
          <w:sz w:val="24"/>
        </w:rPr>
        <w:t xml:space="preserve">. The leading company premises manufacture the syrups, which they distribute to various bottlers with already defined market zones. The model has typical traits inclusive of </w:t>
      </w:r>
      <w:r w:rsidRPr="00CE3954" w:rsidR="006F38ED">
        <w:rPr>
          <w:rFonts w:ascii="Times New Roman" w:hAnsi="Times New Roman" w:cs="Times New Roman"/>
          <w:sz w:val="24"/>
        </w:rPr>
        <w:t>suppliers, manufacturers, distributors, retailers and end consumers</w:t>
      </w:r>
      <w:r w:rsidRPr="00CE3954">
        <w:rPr>
          <w:rFonts w:ascii="Times New Roman" w:hAnsi="Times New Roman" w:cs="Times New Roman"/>
          <w:sz w:val="24"/>
        </w:rPr>
        <w:t>, each</w:t>
      </w:r>
      <w:r w:rsidRPr="00CE3954" w:rsidR="006F38ED">
        <w:rPr>
          <w:rFonts w:ascii="Times New Roman" w:hAnsi="Times New Roman" w:cs="Times New Roman"/>
          <w:sz w:val="24"/>
        </w:rPr>
        <w:t xml:space="preserve"> </w:t>
      </w:r>
      <w:r w:rsidRPr="00CE3954">
        <w:rPr>
          <w:rFonts w:ascii="Times New Roman" w:hAnsi="Times New Roman" w:cs="Times New Roman"/>
          <w:sz w:val="24"/>
        </w:rPr>
        <w:t>fulfilling pre-defined roles</w:t>
      </w:r>
      <w:r w:rsidRPr="00CE3954" w:rsidR="006F38ED">
        <w:rPr>
          <w:rFonts w:ascii="Times New Roman" w:hAnsi="Times New Roman" w:cs="Times New Roman"/>
          <w:sz w:val="24"/>
        </w:rPr>
        <w:t xml:space="preserve">.  </w:t>
      </w:r>
      <w:r w:rsidRPr="00CE3954">
        <w:rPr>
          <w:rFonts w:ascii="Times New Roman" w:hAnsi="Times New Roman" w:cs="Times New Roman"/>
          <w:sz w:val="24"/>
        </w:rPr>
        <w:t xml:space="preserve">This paper seeks to dive into the complicated and customized model by Coca-Cola. </w:t>
      </w:r>
    </w:p>
    <w:p w:rsidR="0056474D" w:rsidRPr="00CE3954" w:rsidP="00CE3954">
      <w:pPr>
        <w:spacing w:after="0" w:line="480" w:lineRule="auto"/>
        <w:jc w:val="center"/>
        <w:rPr>
          <w:rFonts w:ascii="Times New Roman" w:hAnsi="Times New Roman" w:cs="Times New Roman"/>
          <w:b/>
          <w:sz w:val="24"/>
        </w:rPr>
      </w:pPr>
      <w:r w:rsidRPr="00CE3954">
        <w:rPr>
          <w:rFonts w:ascii="Times New Roman" w:hAnsi="Times New Roman" w:cs="Times New Roman"/>
          <w:b/>
          <w:sz w:val="24"/>
        </w:rPr>
        <w:t>Organization Background</w:t>
      </w:r>
    </w:p>
    <w:p w:rsidR="006F38ED"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Coca-Cola Company is an American-based multinational beverage company and boasts of having among the top supply chains globally. The company has an extensive product portfolio, encompassing more than 500 brands within, and its distribution system facilitates reaching more than 1.6 billion clients each day</w:t>
      </w:r>
      <w:r w:rsidR="00CE3954">
        <w:rPr>
          <w:rFonts w:ascii="Times New Roman" w:hAnsi="Times New Roman" w:cs="Times New Roman"/>
          <w:sz w:val="24"/>
        </w:rPr>
        <w:t xml:space="preserve"> (</w:t>
      </w:r>
      <w:r w:rsidR="00CE3954">
        <w:rPr>
          <w:rFonts w:ascii="Times New Roman" w:hAnsi="Times New Roman" w:cs="Times New Roman"/>
          <w:sz w:val="24"/>
        </w:rPr>
        <w:t>Pendergrast</w:t>
      </w:r>
      <w:r w:rsidR="00CE3954">
        <w:rPr>
          <w:rFonts w:ascii="Times New Roman" w:hAnsi="Times New Roman" w:cs="Times New Roman"/>
          <w:sz w:val="24"/>
        </w:rPr>
        <w:t>, 2013)</w:t>
      </w:r>
      <w:r w:rsidRPr="00CE3954">
        <w:rPr>
          <w:rFonts w:ascii="Times New Roman" w:hAnsi="Times New Roman" w:cs="Times New Roman"/>
          <w:sz w:val="24"/>
        </w:rPr>
        <w:t xml:space="preserve">. The headquarters of the corporation are in Atlanta, Georgia. </w:t>
      </w:r>
      <w:r w:rsidRPr="00CE3954" w:rsidR="00C23A19">
        <w:rPr>
          <w:rFonts w:ascii="Times New Roman" w:hAnsi="Times New Roman" w:cs="Times New Roman"/>
          <w:sz w:val="24"/>
        </w:rPr>
        <w:t xml:space="preserve">The company also engages in other products aside from its re-known Coca-Cola, such as Sprite, </w:t>
      </w:r>
      <w:r w:rsidRPr="00CE3954" w:rsidR="001E1276">
        <w:rPr>
          <w:rFonts w:ascii="Times New Roman" w:hAnsi="Times New Roman" w:cs="Times New Roman"/>
          <w:sz w:val="24"/>
        </w:rPr>
        <w:t xml:space="preserve">Minute Maid, </w:t>
      </w:r>
      <w:r w:rsidRPr="00CE3954" w:rsidR="0064094E">
        <w:rPr>
          <w:rFonts w:ascii="Times New Roman" w:hAnsi="Times New Roman" w:cs="Times New Roman"/>
          <w:sz w:val="24"/>
        </w:rPr>
        <w:t>Maaza</w:t>
      </w:r>
      <w:r w:rsidRPr="00CE3954" w:rsidR="0064094E">
        <w:rPr>
          <w:rFonts w:ascii="Times New Roman" w:hAnsi="Times New Roman" w:cs="Times New Roman"/>
          <w:sz w:val="24"/>
        </w:rPr>
        <w:t xml:space="preserve">, </w:t>
      </w:r>
      <w:r w:rsidRPr="00CE3954" w:rsidR="00C23A19">
        <w:rPr>
          <w:rFonts w:ascii="Times New Roman" w:hAnsi="Times New Roman" w:cs="Times New Roman"/>
          <w:sz w:val="24"/>
        </w:rPr>
        <w:t>Fanta</w:t>
      </w:r>
      <w:r w:rsidRPr="00CE3954" w:rsidR="00C23A19">
        <w:rPr>
          <w:rFonts w:ascii="Times New Roman" w:hAnsi="Times New Roman" w:cs="Times New Roman"/>
          <w:sz w:val="24"/>
        </w:rPr>
        <w:t>, Diet Coke, and other non-alcoholic drinks. Moreover, the company sponsors various events and organizations such as The Olympics, Euro, and FIFA</w:t>
      </w:r>
      <w:r w:rsidRPr="00CE3954">
        <w:rPr>
          <w:rFonts w:ascii="Times New Roman" w:hAnsi="Times New Roman" w:cs="Times New Roman"/>
          <w:sz w:val="24"/>
        </w:rPr>
        <w:t xml:space="preserve"> (Coca-Cola Company Website, 2016).   </w:t>
      </w:r>
    </w:p>
    <w:p w:rsidR="00C23A19" w:rsidRPr="00CE3954" w:rsidP="00CE3954">
      <w:pPr>
        <w:spacing w:after="0" w:line="480" w:lineRule="auto"/>
        <w:jc w:val="center"/>
        <w:rPr>
          <w:rFonts w:ascii="Times New Roman" w:hAnsi="Times New Roman" w:cs="Times New Roman"/>
          <w:b/>
          <w:sz w:val="24"/>
        </w:rPr>
      </w:pPr>
      <w:r w:rsidRPr="00CE3954">
        <w:rPr>
          <w:rFonts w:ascii="Times New Roman" w:hAnsi="Times New Roman" w:cs="Times New Roman"/>
          <w:b/>
          <w:sz w:val="24"/>
        </w:rPr>
        <w:t>Supply Chain Strategy</w:t>
      </w:r>
    </w:p>
    <w:p w:rsidR="00F87D23"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The manufacturing processes involved in the company's supply chain only include syrup production, which Coca-Cola regards as their trade secret. It then sells the same to bottlers with marked territories. The bottlers have exclusive regional contracts and are in charge of producing the final product, canning and bottling operations. </w:t>
      </w:r>
      <w:r w:rsidRPr="00CE3954">
        <w:rPr>
          <w:rFonts w:ascii="Times New Roman" w:hAnsi="Times New Roman" w:cs="Times New Roman"/>
          <w:sz w:val="24"/>
        </w:rPr>
        <w:t>An analysis of information paths, Coca-Cola makes use of the ABC classification in evaluating the demand and make appropriate decisions on how to meet the forecast of the same</w:t>
      </w:r>
      <w:r w:rsidR="00CE3954">
        <w:rPr>
          <w:rFonts w:ascii="Times New Roman" w:hAnsi="Times New Roman" w:cs="Times New Roman"/>
          <w:sz w:val="24"/>
        </w:rPr>
        <w:t xml:space="preserve"> (</w:t>
      </w:r>
      <w:r w:rsidRPr="00CE3954" w:rsidR="00CE3954">
        <w:rPr>
          <w:rFonts w:ascii="Times New Roman" w:hAnsi="Times New Roman" w:cs="Times New Roman"/>
          <w:sz w:val="24"/>
        </w:rPr>
        <w:t>Monczka</w:t>
      </w:r>
      <w:r w:rsidR="00CE3954">
        <w:rPr>
          <w:rFonts w:ascii="Times New Roman" w:hAnsi="Times New Roman" w:cs="Times New Roman"/>
          <w:sz w:val="24"/>
        </w:rPr>
        <w:t xml:space="preserve"> et al., 2015)</w:t>
      </w:r>
      <w:r w:rsidRPr="00CE3954">
        <w:rPr>
          <w:rFonts w:ascii="Times New Roman" w:hAnsi="Times New Roman" w:cs="Times New Roman"/>
          <w:sz w:val="24"/>
        </w:rPr>
        <w:t xml:space="preserve">. Such a </w:t>
      </w:r>
      <w:r w:rsidRPr="00CE3954">
        <w:rPr>
          <w:rFonts w:ascii="Times New Roman" w:hAnsi="Times New Roman" w:cs="Times New Roman"/>
          <w:sz w:val="24"/>
        </w:rPr>
        <w:t>structure favours their existing dynamic inventory model</w:t>
      </w:r>
      <w:r w:rsidRPr="00CE3954" w:rsidR="006F38ED">
        <w:rPr>
          <w:rFonts w:ascii="Times New Roman" w:hAnsi="Times New Roman" w:cs="Times New Roman"/>
          <w:sz w:val="24"/>
        </w:rPr>
        <w:t xml:space="preserve"> (</w:t>
      </w:r>
      <w:r w:rsidRPr="00CE3954" w:rsidR="006F38ED">
        <w:rPr>
          <w:rFonts w:ascii="Times New Roman" w:hAnsi="Times New Roman" w:cs="Times New Roman"/>
          <w:sz w:val="24"/>
        </w:rPr>
        <w:t>Monczka</w:t>
      </w:r>
      <w:r w:rsidRPr="00CE3954" w:rsidR="006F38ED">
        <w:rPr>
          <w:rFonts w:ascii="Times New Roman" w:hAnsi="Times New Roman" w:cs="Times New Roman"/>
          <w:sz w:val="24"/>
        </w:rPr>
        <w:t xml:space="preserve">, </w:t>
      </w:r>
      <w:r w:rsidRPr="00CE3954" w:rsidR="006F38ED">
        <w:rPr>
          <w:rFonts w:ascii="Times New Roman" w:hAnsi="Times New Roman" w:cs="Times New Roman"/>
          <w:sz w:val="24"/>
        </w:rPr>
        <w:t>Handfield</w:t>
      </w:r>
      <w:r w:rsidRPr="00CE3954" w:rsidR="006F38ED">
        <w:rPr>
          <w:rFonts w:ascii="Times New Roman" w:hAnsi="Times New Roman" w:cs="Times New Roman"/>
          <w:sz w:val="24"/>
        </w:rPr>
        <w:t xml:space="preserve">, </w:t>
      </w:r>
      <w:r w:rsidRPr="00CE3954" w:rsidR="006F38ED">
        <w:rPr>
          <w:rFonts w:ascii="Times New Roman" w:hAnsi="Times New Roman" w:cs="Times New Roman"/>
          <w:sz w:val="24"/>
        </w:rPr>
        <w:t>Giunipero</w:t>
      </w:r>
      <w:r w:rsidRPr="00CE3954" w:rsidR="006F38ED">
        <w:rPr>
          <w:rFonts w:ascii="Times New Roman" w:hAnsi="Times New Roman" w:cs="Times New Roman"/>
          <w:sz w:val="24"/>
        </w:rPr>
        <w:t xml:space="preserve"> &amp; Patterson, 2015). </w:t>
      </w:r>
      <w:r w:rsidRPr="00CE3954">
        <w:rPr>
          <w:rFonts w:ascii="Times New Roman" w:hAnsi="Times New Roman" w:cs="Times New Roman"/>
          <w:sz w:val="24"/>
        </w:rPr>
        <w:t>The company also ensures the dual transfer of information. 
</w:t>
      </w:r>
    </w:p>
    <w:p w:rsidR="00F87D23"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The company engages in a comprehensive assessment prior to approving sale outlets. Additionally, the incentive model is equally extensive, covering retailers, wholesalers, bottlers, and staff. All those involved have the potential to achieve points, which they redeem for discounts or promotions. </w:t>
      </w:r>
      <w:r w:rsidRPr="00CE3954" w:rsidR="0033683D">
        <w:rPr>
          <w:rFonts w:ascii="Times New Roman" w:hAnsi="Times New Roman" w:cs="Times New Roman"/>
          <w:sz w:val="24"/>
        </w:rPr>
        <w:t xml:space="preserve">The financial structure for Coca-Cola adopts a purchase to pay model in their interactions with their suppliers. However, in dealing with the customers, the company shifts to an order to pay model. The organization also has automated some of its financial flow functions by adopting IT technologies such as SAP, credit information, trade financing systems, EIPP solutions, and management systems. </w:t>
      </w:r>
      <w:r w:rsidRPr="00CE3954" w:rsidR="00B55563">
        <w:rPr>
          <w:rFonts w:ascii="Times New Roman" w:hAnsi="Times New Roman" w:cs="Times New Roman"/>
          <w:sz w:val="24"/>
        </w:rPr>
        <w:t>It is possible to summarize the core competencies for Coca-Cola as administrative control, distribution networks, const controls, franchise networks, and substantial brand value. 
</w:t>
      </w:r>
    </w:p>
    <w:p w:rsidR="00B55563" w:rsidRPr="00CE3954" w:rsidP="00CE3954">
      <w:pPr>
        <w:spacing w:after="0" w:line="480" w:lineRule="auto"/>
        <w:jc w:val="center"/>
        <w:rPr>
          <w:rFonts w:ascii="Times New Roman" w:hAnsi="Times New Roman" w:cs="Times New Roman"/>
          <w:b/>
          <w:sz w:val="24"/>
        </w:rPr>
      </w:pPr>
      <w:r w:rsidRPr="00CE3954">
        <w:rPr>
          <w:rFonts w:ascii="Times New Roman" w:hAnsi="Times New Roman" w:cs="Times New Roman"/>
          <w:b/>
          <w:sz w:val="24"/>
        </w:rPr>
        <w:t>Supply Chain</w:t>
      </w:r>
    </w:p>
    <w:p w:rsidR="00B55563"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The company acknowledges its suppliers as direct and indirect. The former defines those whose products are packaging supplies and ingredients. Indirect suppliers cover labour, professional consulting services, facilities management, real estate, utilities, fleet vehicles, logistic providers, maintenance services, spare parts, production equipment, and IT services. </w:t>
      </w:r>
      <w:r w:rsidRPr="00CE3954" w:rsidR="00EC57BC">
        <w:rPr>
          <w:rFonts w:ascii="Times New Roman" w:hAnsi="Times New Roman" w:cs="Times New Roman"/>
          <w:sz w:val="24"/>
        </w:rPr>
        <w:t xml:space="preserve">The suppliers are from each of the region's brand makes the sale. Coca-Cola defines its supplier relationships based on </w:t>
      </w:r>
      <w:r w:rsidRPr="00CE3954" w:rsidR="00983CEC">
        <w:rPr>
          <w:rFonts w:ascii="Times New Roman" w:hAnsi="Times New Roman" w:cs="Times New Roman"/>
          <w:sz w:val="24"/>
        </w:rPr>
        <w:t xml:space="preserve">agreements between the regional bottling company and supplying partners. The interaction between the two is subject to the Coca-Cola HBC Sustainable Agriculture Guiding Principles and the Coca-Col HBC Supplier Guiding Principles.  For selection to do business with the company, potential partners must satisfy the core </w:t>
      </w:r>
      <w:r w:rsidRPr="00CE3954" w:rsidR="00983CEC">
        <w:rPr>
          <w:rFonts w:ascii="Times New Roman" w:hAnsi="Times New Roman" w:cs="Times New Roman"/>
          <w:sz w:val="24"/>
        </w:rPr>
        <w:t>international conventions and apply to the environment and local labour laws. Coca-Cola also assess</w:t>
      </w:r>
      <w:r w:rsidRPr="00CE3954" w:rsidR="00A926C8">
        <w:rPr>
          <w:rFonts w:ascii="Times New Roman" w:hAnsi="Times New Roman" w:cs="Times New Roman"/>
          <w:sz w:val="24"/>
        </w:rPr>
        <w:t>es</w:t>
      </w:r>
      <w:r w:rsidRPr="00CE3954" w:rsidR="00983CEC">
        <w:rPr>
          <w:rFonts w:ascii="Times New Roman" w:hAnsi="Times New Roman" w:cs="Times New Roman"/>
          <w:sz w:val="24"/>
        </w:rPr>
        <w:t xml:space="preserve"> the supplier certification according to ISO standards. </w:t>
      </w:r>
    </w:p>
    <w:p w:rsidR="00A926C8"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The marketing strategy for the company considers everyone as a potential consumer and designs its product to encompass them. In regards to gender, all seem to enjoy their products equally. Despite no limitation from age, the most significant customer base for the company is the youth. </w:t>
      </w:r>
      <w:r w:rsidRPr="00CE3954" w:rsidR="005750D0">
        <w:rPr>
          <w:rFonts w:ascii="Times New Roman" w:hAnsi="Times New Roman" w:cs="Times New Roman"/>
          <w:sz w:val="24"/>
        </w:rPr>
        <w:t xml:space="preserve">The company allows for feedback from consumers through its </w:t>
      </w:r>
      <w:r w:rsidRPr="00CE3954" w:rsidR="005750D0">
        <w:rPr>
          <w:rFonts w:ascii="Times New Roman" w:hAnsi="Times New Roman" w:cs="Times New Roman"/>
          <w:sz w:val="24"/>
        </w:rPr>
        <w:t>CokeSolutions</w:t>
      </w:r>
      <w:r w:rsidRPr="00CE3954" w:rsidR="005750D0">
        <w:rPr>
          <w:rFonts w:ascii="Times New Roman" w:hAnsi="Times New Roman" w:cs="Times New Roman"/>
          <w:sz w:val="24"/>
        </w:rPr>
        <w:t xml:space="preserve"> website. The customers add value by feeding the feedback loop in the company, which provides immediate response to demands. </w:t>
      </w:r>
      <w:r w:rsidRPr="00CE3954" w:rsidR="00C06089">
        <w:rPr>
          <w:rFonts w:ascii="Times New Roman" w:hAnsi="Times New Roman" w:cs="Times New Roman"/>
          <w:sz w:val="24"/>
        </w:rPr>
        <w:t xml:space="preserve">The same o=also highlights significance of the consumers in decision-making whereby Coca-Cola alters or tweaks their product in response to customer recommendations. </w:t>
      </w:r>
      <w:r w:rsidRPr="00CE3954" w:rsidR="005750D0">
        <w:rPr>
          <w:rFonts w:ascii="Times New Roman" w:hAnsi="Times New Roman" w:cs="Times New Roman"/>
          <w:sz w:val="24"/>
        </w:rPr>
        <w:t>The company runs its logistics network through local micro-distribution centers. The term refers to entrepreneurs within the region who hire salespeople and distributors to sell the products</w:t>
      </w:r>
      <w:r w:rsidR="00CE3954">
        <w:rPr>
          <w:rFonts w:ascii="Times New Roman" w:hAnsi="Times New Roman" w:cs="Times New Roman"/>
          <w:sz w:val="24"/>
        </w:rPr>
        <w:t xml:space="preserve"> (</w:t>
      </w:r>
      <w:r w:rsidRPr="00CE3954" w:rsidR="00CE3954">
        <w:rPr>
          <w:rFonts w:ascii="Times New Roman" w:hAnsi="Times New Roman" w:cs="Times New Roman"/>
          <w:sz w:val="24"/>
        </w:rPr>
        <w:t>Colicchia</w:t>
      </w:r>
      <w:r w:rsidRPr="00CE3954" w:rsidR="00CE3954">
        <w:rPr>
          <w:rFonts w:ascii="Times New Roman" w:hAnsi="Times New Roman" w:cs="Times New Roman"/>
          <w:sz w:val="24"/>
        </w:rPr>
        <w:t xml:space="preserve">, </w:t>
      </w:r>
      <w:r w:rsidRPr="00CE3954" w:rsidR="00CE3954">
        <w:rPr>
          <w:rFonts w:ascii="Times New Roman" w:hAnsi="Times New Roman" w:cs="Times New Roman"/>
          <w:sz w:val="24"/>
        </w:rPr>
        <w:t>Melacini</w:t>
      </w:r>
      <w:r w:rsidRPr="00CE3954" w:rsidR="00CE3954">
        <w:rPr>
          <w:rFonts w:ascii="Times New Roman" w:hAnsi="Times New Roman" w:cs="Times New Roman"/>
          <w:sz w:val="24"/>
        </w:rPr>
        <w:t xml:space="preserve">, &amp; </w:t>
      </w:r>
      <w:r w:rsidRPr="00CE3954" w:rsidR="00CE3954">
        <w:rPr>
          <w:rFonts w:ascii="Times New Roman" w:hAnsi="Times New Roman" w:cs="Times New Roman"/>
          <w:sz w:val="24"/>
        </w:rPr>
        <w:t>Perotti</w:t>
      </w:r>
      <w:r w:rsidR="00CE3954">
        <w:rPr>
          <w:rFonts w:ascii="Times New Roman" w:hAnsi="Times New Roman" w:cs="Times New Roman"/>
          <w:sz w:val="24"/>
        </w:rPr>
        <w:t xml:space="preserve">, </w:t>
      </w:r>
      <w:r w:rsidRPr="00CE3954" w:rsidR="00CE3954">
        <w:rPr>
          <w:rFonts w:ascii="Times New Roman" w:hAnsi="Times New Roman" w:cs="Times New Roman"/>
          <w:sz w:val="24"/>
        </w:rPr>
        <w:t>2011</w:t>
      </w:r>
      <w:r w:rsidR="00CE3954">
        <w:rPr>
          <w:rFonts w:ascii="Times New Roman" w:hAnsi="Times New Roman" w:cs="Times New Roman"/>
          <w:sz w:val="24"/>
        </w:rPr>
        <w:t>)</w:t>
      </w:r>
      <w:r w:rsidRPr="00CE3954" w:rsidR="005750D0">
        <w:rPr>
          <w:rFonts w:ascii="Times New Roman" w:hAnsi="Times New Roman" w:cs="Times New Roman"/>
          <w:sz w:val="24"/>
        </w:rPr>
        <w:t xml:space="preserve">. </w:t>
      </w:r>
      <w:r w:rsidR="00CE3954">
        <w:rPr>
          <w:rFonts w:ascii="Times New Roman" w:hAnsi="Times New Roman" w:cs="Times New Roman"/>
          <w:sz w:val="24"/>
        </w:rPr>
        <w:t>Such a structure started early for what the company perceived as a vision for sustainable development while boosting local entrepreneurial talent and culture. 
</w:t>
      </w:r>
    </w:p>
    <w:p w:rsidR="00C06089" w:rsidRPr="00CE3954" w:rsidP="00CE3954">
      <w:pPr>
        <w:spacing w:after="0" w:line="480" w:lineRule="auto"/>
        <w:jc w:val="center"/>
        <w:rPr>
          <w:rFonts w:ascii="Times New Roman" w:hAnsi="Times New Roman" w:cs="Times New Roman"/>
          <w:b/>
          <w:sz w:val="24"/>
        </w:rPr>
      </w:pPr>
      <w:r w:rsidRPr="00CE3954">
        <w:rPr>
          <w:rFonts w:ascii="Times New Roman" w:hAnsi="Times New Roman" w:cs="Times New Roman"/>
          <w:b/>
          <w:sz w:val="24"/>
        </w:rPr>
        <w:t>Performance Monitoring</w:t>
      </w:r>
    </w:p>
    <w:p w:rsidR="00C06089"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Employees are first subjected to a six-month training that provides input of various dimensions such as expertise, skill knowledge, attitude, and personality. The employees then have to undergo employee performance assessment twice annually, including a broader area of evaluation, including employee impact on the organization. The tools used in measurement include annual leave days, overall reputation, and performance throughout work in different departments, analytical tests, improved knowledge scores, and internal relationships with the company. The diversity incorporated into the company structure requires that each region's human resource do such an assessment. </w:t>
      </w:r>
      <w:r w:rsidRPr="00CE3954" w:rsidR="00411806">
        <w:rPr>
          <w:rFonts w:ascii="Times New Roman" w:hAnsi="Times New Roman" w:cs="Times New Roman"/>
          <w:sz w:val="24"/>
        </w:rPr>
        <w:t xml:space="preserve">The most sought after skills are a sense </w:t>
      </w:r>
      <w:r w:rsidRPr="00CE3954" w:rsidR="00411806">
        <w:rPr>
          <w:rFonts w:ascii="Times New Roman" w:hAnsi="Times New Roman" w:cs="Times New Roman"/>
          <w:sz w:val="24"/>
        </w:rPr>
        <w:t xml:space="preserve">of strong ethical and moral values to allow for diversity. The organization, therefore, uses re-training as the most appropriate corrective action.  </w:t>
      </w:r>
      <w:r w:rsidR="00CE3954">
        <w:rPr>
          <w:rFonts w:ascii="Times New Roman" w:hAnsi="Times New Roman" w:cs="Times New Roman"/>
          <w:sz w:val="24"/>
        </w:rPr>
        <w:t>The company also places high significance on the sustenance of the environment through its green campaign (Kumar</w:t>
      </w:r>
      <w:r w:rsidRPr="00CE3954" w:rsidR="00CE3954">
        <w:rPr>
          <w:rFonts w:ascii="Times New Roman" w:hAnsi="Times New Roman" w:cs="Times New Roman"/>
          <w:sz w:val="24"/>
        </w:rPr>
        <w:t xml:space="preserve">, </w:t>
      </w:r>
      <w:r w:rsidR="00CE3954">
        <w:rPr>
          <w:rFonts w:ascii="Times New Roman" w:hAnsi="Times New Roman" w:cs="Times New Roman"/>
          <w:sz w:val="24"/>
        </w:rPr>
        <w:t>Teichman</w:t>
      </w:r>
      <w:r w:rsidRPr="00CE3954" w:rsidR="00CE3954">
        <w:rPr>
          <w:rFonts w:ascii="Times New Roman" w:hAnsi="Times New Roman" w:cs="Times New Roman"/>
          <w:sz w:val="24"/>
        </w:rPr>
        <w:t xml:space="preserve">, &amp; </w:t>
      </w:r>
      <w:r w:rsidRPr="00CE3954" w:rsidR="00CE3954">
        <w:rPr>
          <w:rFonts w:ascii="Times New Roman" w:hAnsi="Times New Roman" w:cs="Times New Roman"/>
          <w:sz w:val="24"/>
        </w:rPr>
        <w:t>Timpernagel</w:t>
      </w:r>
      <w:r w:rsidR="00CE3954">
        <w:rPr>
          <w:rFonts w:ascii="Times New Roman" w:hAnsi="Times New Roman" w:cs="Times New Roman"/>
          <w:sz w:val="24"/>
        </w:rPr>
        <w:t>, 2012), which also applies to partners and suppliers. 
</w:t>
      </w:r>
    </w:p>
    <w:p w:rsidR="00411806"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Coca-Cola bottling plants extensively adopt statistical process control to reduce defects and improve the quality of products. </w:t>
      </w:r>
      <w:r w:rsidRPr="00CE3954">
        <w:rPr>
          <w:rFonts w:ascii="Times New Roman" w:hAnsi="Times New Roman" w:cs="Times New Roman"/>
          <w:sz w:val="24"/>
        </w:rPr>
        <w:t>DataLyzer</w:t>
      </w:r>
      <w:r w:rsidRPr="00CE3954">
        <w:rPr>
          <w:rFonts w:ascii="Times New Roman" w:hAnsi="Times New Roman" w:cs="Times New Roman"/>
          <w:sz w:val="24"/>
        </w:rPr>
        <w:t xml:space="preserve"> Spectrum is the most widely adopted SPC by the company, which enters information either manually or automatically from gauges. Moreover, the incorporation of </w:t>
      </w:r>
      <w:r w:rsidRPr="00CE3954">
        <w:rPr>
          <w:rFonts w:ascii="Times New Roman" w:hAnsi="Times New Roman" w:cs="Times New Roman"/>
          <w:sz w:val="24"/>
        </w:rPr>
        <w:t>DataLyzer</w:t>
      </w:r>
      <w:r w:rsidRPr="00CE3954">
        <w:rPr>
          <w:rFonts w:ascii="Times New Roman" w:hAnsi="Times New Roman" w:cs="Times New Roman"/>
          <w:sz w:val="24"/>
        </w:rPr>
        <w:t xml:space="preserve"> Spectrum facilitates tracking by including data and time stamps and tracking information. </w:t>
      </w:r>
      <w:r w:rsidRPr="00CE3954" w:rsidR="005D30FD">
        <w:rPr>
          <w:rFonts w:ascii="Times New Roman" w:hAnsi="Times New Roman" w:cs="Times New Roman"/>
          <w:sz w:val="24"/>
        </w:rPr>
        <w:t xml:space="preserve">The improvement in the company's operations is considered as a response to consumer demands. One such change reflects in the removal of almost 425000 tons of sugar from the recipe making the company's product in 2017 and 2018 owing customer demand. Another notable improvement was in 2019, when the company expanded its </w:t>
      </w:r>
      <w:r w:rsidRPr="00CE3954" w:rsidR="005D30FD">
        <w:rPr>
          <w:rFonts w:ascii="Times New Roman" w:hAnsi="Times New Roman" w:cs="Times New Roman"/>
          <w:sz w:val="24"/>
        </w:rPr>
        <w:t>blockchain</w:t>
      </w:r>
      <w:r w:rsidRPr="00CE3954" w:rsidR="005D30FD">
        <w:rPr>
          <w:rFonts w:ascii="Times New Roman" w:hAnsi="Times New Roman" w:cs="Times New Roman"/>
          <w:sz w:val="24"/>
        </w:rPr>
        <w:t xml:space="preserve"> initiative to reach 70 partners</w:t>
      </w:r>
      <w:r w:rsidRPr="00CE3954" w:rsidR="0086187F">
        <w:rPr>
          <w:rFonts w:ascii="Times New Roman" w:hAnsi="Times New Roman" w:cs="Times New Roman"/>
          <w:sz w:val="24"/>
        </w:rPr>
        <w:t xml:space="preserve"> (</w:t>
      </w:r>
      <w:r w:rsidRPr="00CE3954" w:rsidR="0086187F">
        <w:rPr>
          <w:rFonts w:ascii="Times New Roman" w:hAnsi="Times New Roman" w:cs="Times New Roman"/>
          <w:sz w:val="24"/>
        </w:rPr>
        <w:t>Foxley</w:t>
      </w:r>
      <w:r w:rsidRPr="00CE3954" w:rsidR="0086187F">
        <w:rPr>
          <w:rFonts w:ascii="Times New Roman" w:hAnsi="Times New Roman" w:cs="Times New Roman"/>
          <w:sz w:val="24"/>
        </w:rPr>
        <w:t>, 2019)</w:t>
      </w:r>
      <w:r w:rsidRPr="00CE3954" w:rsidR="005D30FD">
        <w:rPr>
          <w:rFonts w:ascii="Times New Roman" w:hAnsi="Times New Roman" w:cs="Times New Roman"/>
          <w:sz w:val="24"/>
        </w:rPr>
        <w:t>. The effort is a strategy to speed up communication and cooperation with partners such that the processes are faster and less cost-intensive. 
</w:t>
      </w:r>
    </w:p>
    <w:p w:rsidR="00C06089" w:rsidRPr="00CE3954" w:rsidP="00CE3954">
      <w:pPr>
        <w:spacing w:after="0" w:line="480" w:lineRule="auto"/>
        <w:jc w:val="center"/>
        <w:rPr>
          <w:rFonts w:ascii="Times New Roman" w:hAnsi="Times New Roman" w:cs="Times New Roman"/>
          <w:b/>
          <w:sz w:val="24"/>
        </w:rPr>
      </w:pPr>
      <w:r w:rsidRPr="00CE3954">
        <w:rPr>
          <w:rFonts w:ascii="Times New Roman" w:hAnsi="Times New Roman" w:cs="Times New Roman"/>
          <w:b/>
          <w:sz w:val="24"/>
        </w:rPr>
        <w:t>Recommendations</w:t>
      </w:r>
    </w:p>
    <w:p w:rsidR="00C06089" w:rsidRPr="00CE3954" w:rsidP="00CE3954">
      <w:pPr>
        <w:spacing w:after="0" w:line="480" w:lineRule="auto"/>
        <w:ind w:firstLine="720"/>
        <w:rPr>
          <w:rFonts w:ascii="Times New Roman" w:hAnsi="Times New Roman" w:cs="Times New Roman"/>
          <w:sz w:val="24"/>
        </w:rPr>
      </w:pPr>
      <w:r w:rsidRPr="00CE3954">
        <w:rPr>
          <w:rFonts w:ascii="Times New Roman" w:hAnsi="Times New Roman" w:cs="Times New Roman"/>
          <w:sz w:val="24"/>
        </w:rPr>
        <w:t xml:space="preserve">Coca-cola has made significant strides in reducing its lead time in response to </w:t>
      </w:r>
      <w:r w:rsidRPr="00CE3954" w:rsidR="005D30FD">
        <w:rPr>
          <w:rFonts w:ascii="Times New Roman" w:hAnsi="Times New Roman" w:cs="Times New Roman"/>
          <w:sz w:val="24"/>
        </w:rPr>
        <w:t>orders</w:t>
      </w:r>
      <w:r w:rsidRPr="00CE3954">
        <w:rPr>
          <w:rFonts w:ascii="Times New Roman" w:hAnsi="Times New Roman" w:cs="Times New Roman"/>
          <w:sz w:val="24"/>
        </w:rPr>
        <w:t xml:space="preserve"> and customers, </w:t>
      </w:r>
      <w:r w:rsidRPr="00CE3954" w:rsidR="0086187F">
        <w:rPr>
          <w:rFonts w:ascii="Times New Roman" w:hAnsi="Times New Roman" w:cs="Times New Roman"/>
          <w:sz w:val="24"/>
        </w:rPr>
        <w:t xml:space="preserve">such as the </w:t>
      </w:r>
      <w:r w:rsidRPr="00CE3954" w:rsidR="0086187F">
        <w:rPr>
          <w:rFonts w:ascii="Times New Roman" w:hAnsi="Times New Roman" w:cs="Times New Roman"/>
          <w:sz w:val="24"/>
        </w:rPr>
        <w:t>blockchain</w:t>
      </w:r>
      <w:r w:rsidRPr="00CE3954" w:rsidR="0086187F">
        <w:rPr>
          <w:rFonts w:ascii="Times New Roman" w:hAnsi="Times New Roman" w:cs="Times New Roman"/>
          <w:sz w:val="24"/>
        </w:rPr>
        <w:t xml:space="preserve"> initiative. The company would gain from adding distributors to its partners, which will considerably reduce the lead time. However, such an effort requires high levels of transparency among the partners and communication with the company. Coca-Cola faces a significant challenge in its material forecast despite employing both upstream and downstream channels. The demand signals master production but more often ends up in overproduction. The company would benefit from a reconfiguration of its response policy to include specific quantities necessary to fill the demand and incorporate live orders and </w:t>
      </w:r>
      <w:r w:rsidRPr="00CE3954" w:rsidR="0086187F">
        <w:rPr>
          <w:rFonts w:ascii="Times New Roman" w:hAnsi="Times New Roman" w:cs="Times New Roman"/>
          <w:sz w:val="24"/>
        </w:rPr>
        <w:t xml:space="preserve">forecast straight from the consumer. The last initiative minimizes the need for data acquisition from suppliers who may error. </w:t>
      </w:r>
    </w:p>
    <w:p w:rsidR="0086187F" w:rsidRPr="00CE3954" w:rsidP="00CE3954">
      <w:pPr>
        <w:spacing w:after="0" w:line="480" w:lineRule="auto"/>
        <w:rPr>
          <w:rFonts w:ascii="Times New Roman" w:hAnsi="Times New Roman" w:cs="Times New Roman"/>
          <w:sz w:val="24"/>
        </w:rPr>
      </w:pPr>
      <w:r w:rsidRPr="00CE3954">
        <w:rPr>
          <w:rFonts w:ascii="Times New Roman" w:hAnsi="Times New Roman" w:cs="Times New Roman"/>
          <w:sz w:val="24"/>
        </w:rPr>
        <w:br w:type="page"/>
      </w:r>
    </w:p>
    <w:p w:rsidR="006F38ED" w:rsidRPr="00CE3954" w:rsidP="00CE3954">
      <w:pPr>
        <w:spacing w:after="0" w:line="480" w:lineRule="auto"/>
        <w:jc w:val="center"/>
        <w:rPr>
          <w:rFonts w:ascii="Times New Roman" w:hAnsi="Times New Roman" w:cs="Times New Roman"/>
          <w:sz w:val="24"/>
        </w:rPr>
      </w:pPr>
      <w:r w:rsidRPr="00CE3954">
        <w:rPr>
          <w:rFonts w:ascii="Times New Roman" w:hAnsi="Times New Roman" w:cs="Times New Roman"/>
          <w:sz w:val="24"/>
        </w:rPr>
        <w:t>References</w:t>
      </w:r>
    </w:p>
    <w:p w:rsidR="006F38ED"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Coca-Cola Company Website (2016).</w:t>
      </w:r>
      <w:r w:rsidRPr="00CE3954">
        <w:rPr>
          <w:rFonts w:ascii="Times New Roman" w:hAnsi="Times New Roman" w:cs="Times New Roman"/>
          <w:sz w:val="24"/>
        </w:rPr>
        <w:t xml:space="preserve"> Retrieved from </w:t>
      </w:r>
      <w:hyperlink r:id="rId4" w:history="1">
        <w:r w:rsidRPr="00CE3954">
          <w:rPr>
            <w:rStyle w:val="Hyperlink"/>
            <w:rFonts w:ascii="Times New Roman" w:hAnsi="Times New Roman" w:cs="Times New Roman"/>
            <w:sz w:val="24"/>
          </w:rPr>
          <w:t>http://www.coca-cola.com/global/glp.html</w:t>
        </w:r>
      </w:hyperlink>
    </w:p>
    <w:p w:rsidR="006F38ED"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Colicchia</w:t>
      </w:r>
      <w:r w:rsidRPr="00CE3954">
        <w:rPr>
          <w:rFonts w:ascii="Times New Roman" w:hAnsi="Times New Roman" w:cs="Times New Roman"/>
          <w:sz w:val="24"/>
        </w:rPr>
        <w:t xml:space="preserve">, C., </w:t>
      </w:r>
      <w:r w:rsidRPr="00CE3954">
        <w:rPr>
          <w:rFonts w:ascii="Times New Roman" w:hAnsi="Times New Roman" w:cs="Times New Roman"/>
          <w:sz w:val="24"/>
        </w:rPr>
        <w:t>Melacini</w:t>
      </w:r>
      <w:r w:rsidRPr="00CE3954">
        <w:rPr>
          <w:rFonts w:ascii="Times New Roman" w:hAnsi="Times New Roman" w:cs="Times New Roman"/>
          <w:sz w:val="24"/>
        </w:rPr>
        <w:t xml:space="preserve">, M., &amp; </w:t>
      </w:r>
      <w:r w:rsidRPr="00CE3954">
        <w:rPr>
          <w:rFonts w:ascii="Times New Roman" w:hAnsi="Times New Roman" w:cs="Times New Roman"/>
          <w:sz w:val="24"/>
        </w:rPr>
        <w:t>Perotti</w:t>
      </w:r>
      <w:r w:rsidRPr="00CE3954">
        <w:rPr>
          <w:rFonts w:ascii="Times New Roman" w:hAnsi="Times New Roman" w:cs="Times New Roman"/>
          <w:sz w:val="24"/>
        </w:rPr>
        <w:t>, S. (2011).</w:t>
      </w:r>
      <w:r w:rsidRPr="00CE3954">
        <w:rPr>
          <w:rFonts w:ascii="Times New Roman" w:hAnsi="Times New Roman" w:cs="Times New Roman"/>
          <w:sz w:val="24"/>
        </w:rPr>
        <w:t xml:space="preserve"> Benchmarking supply chain sustainability: insights from a field study. </w:t>
      </w:r>
      <w:r w:rsidRPr="00CE3954">
        <w:rPr>
          <w:rFonts w:ascii="Times New Roman" w:hAnsi="Times New Roman" w:cs="Times New Roman"/>
          <w:i/>
          <w:sz w:val="24"/>
        </w:rPr>
        <w:t>Benchmarking: an international journal</w:t>
      </w:r>
      <w:r w:rsidRPr="00CE3954">
        <w:rPr>
          <w:rFonts w:ascii="Times New Roman" w:hAnsi="Times New Roman" w:cs="Times New Roman"/>
          <w:sz w:val="24"/>
        </w:rPr>
        <w:t>, 18(5), 705-732.</w:t>
      </w:r>
    </w:p>
    <w:p w:rsidR="0086187F"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Foxley</w:t>
      </w:r>
      <w:r w:rsidRPr="00CE3954">
        <w:rPr>
          <w:rFonts w:ascii="Times New Roman" w:hAnsi="Times New Roman" w:cs="Times New Roman"/>
          <w:sz w:val="24"/>
        </w:rPr>
        <w:t xml:space="preserve">, W. (2019, November 5). </w:t>
      </w:r>
      <w:r w:rsidRPr="00CE3954">
        <w:rPr>
          <w:rFonts w:ascii="Times New Roman" w:hAnsi="Times New Roman" w:cs="Times New Roman"/>
          <w:i/>
          <w:sz w:val="24"/>
        </w:rPr>
        <w:t xml:space="preserve">Coca-Cola Supply Chain Firm Expands </w:t>
      </w:r>
      <w:r w:rsidRPr="00CE3954">
        <w:rPr>
          <w:rFonts w:ascii="Times New Roman" w:hAnsi="Times New Roman" w:cs="Times New Roman"/>
          <w:i/>
          <w:sz w:val="24"/>
        </w:rPr>
        <w:t>Blockchain</w:t>
      </w:r>
      <w:r w:rsidRPr="00CE3954">
        <w:rPr>
          <w:rFonts w:ascii="Times New Roman" w:hAnsi="Times New Roman" w:cs="Times New Roman"/>
          <w:i/>
          <w:sz w:val="24"/>
        </w:rPr>
        <w:t xml:space="preserve"> Effort to 70 Partners. </w:t>
      </w:r>
      <w:r w:rsidRPr="00CE3954">
        <w:rPr>
          <w:rFonts w:ascii="Times New Roman" w:hAnsi="Times New Roman" w:cs="Times New Roman"/>
          <w:sz w:val="24"/>
        </w:rPr>
        <w:t xml:space="preserve">Retrieved from </w:t>
      </w:r>
      <w:r w:rsidRPr="00CE3954">
        <w:rPr>
          <w:rFonts w:ascii="Times New Roman" w:hAnsi="Times New Roman" w:cs="Times New Roman"/>
          <w:sz w:val="24"/>
        </w:rPr>
        <w:t>Coindesk</w:t>
      </w:r>
      <w:r w:rsidRPr="00CE3954">
        <w:rPr>
          <w:rFonts w:ascii="Times New Roman" w:hAnsi="Times New Roman" w:cs="Times New Roman"/>
          <w:sz w:val="24"/>
        </w:rPr>
        <w:t xml:space="preserve"> (2020, August 7).</w:t>
      </w:r>
      <w:r w:rsidRPr="00CE3954">
        <w:rPr>
          <w:rFonts w:ascii="Times New Roman" w:hAnsi="Times New Roman" w:cs="Times New Roman"/>
          <w:sz w:val="24"/>
        </w:rPr>
        <w:t xml:space="preserve"> </w:t>
      </w:r>
      <w:hyperlink r:id="rId5" w:history="1">
        <w:r w:rsidRPr="00CE3954">
          <w:rPr>
            <w:rStyle w:val="Hyperlink"/>
            <w:rFonts w:ascii="Times New Roman" w:hAnsi="Times New Roman" w:cs="Times New Roman"/>
            <w:sz w:val="24"/>
          </w:rPr>
          <w:t>https://www.coindesk.com/coca-cola-supply-chain-firm-to-expand-blockchain-effort-to-70-partners</w:t>
        </w:r>
      </w:hyperlink>
    </w:p>
    <w:p w:rsidR="006F38ED"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 xml:space="preserve">Kumar, S., </w:t>
      </w:r>
      <w:r w:rsidRPr="00CE3954">
        <w:rPr>
          <w:rFonts w:ascii="Times New Roman" w:hAnsi="Times New Roman" w:cs="Times New Roman"/>
          <w:sz w:val="24"/>
        </w:rPr>
        <w:t>Teichman</w:t>
      </w:r>
      <w:r w:rsidRPr="00CE3954">
        <w:rPr>
          <w:rFonts w:ascii="Times New Roman" w:hAnsi="Times New Roman" w:cs="Times New Roman"/>
          <w:sz w:val="24"/>
        </w:rPr>
        <w:t xml:space="preserve">, S., &amp; </w:t>
      </w:r>
      <w:r w:rsidRPr="00CE3954">
        <w:rPr>
          <w:rFonts w:ascii="Times New Roman" w:hAnsi="Times New Roman" w:cs="Times New Roman"/>
          <w:sz w:val="24"/>
        </w:rPr>
        <w:t>Timpernagel</w:t>
      </w:r>
      <w:r w:rsidRPr="00CE3954">
        <w:rPr>
          <w:rFonts w:ascii="Times New Roman" w:hAnsi="Times New Roman" w:cs="Times New Roman"/>
          <w:sz w:val="24"/>
        </w:rPr>
        <w:t>, T. (2012).</w:t>
      </w:r>
      <w:r w:rsidRPr="00CE3954">
        <w:rPr>
          <w:rFonts w:ascii="Times New Roman" w:hAnsi="Times New Roman" w:cs="Times New Roman"/>
          <w:sz w:val="24"/>
        </w:rPr>
        <w:t xml:space="preserve"> A green supply chain is a requirement for profitability. International Journal of Production Research</w:t>
      </w:r>
      <w:r w:rsidRPr="00CE3954" w:rsidR="00CE3954">
        <w:rPr>
          <w:rFonts w:ascii="Times New Roman" w:hAnsi="Times New Roman" w:cs="Times New Roman"/>
          <w:sz w:val="24"/>
        </w:rPr>
        <w:t>, 50</w:t>
      </w:r>
      <w:r w:rsidRPr="00CE3954">
        <w:rPr>
          <w:rFonts w:ascii="Times New Roman" w:hAnsi="Times New Roman" w:cs="Times New Roman"/>
          <w:sz w:val="24"/>
        </w:rPr>
        <w:t>(5), 1278-1296.</w:t>
      </w:r>
    </w:p>
    <w:p w:rsidR="006F38ED"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Monczka</w:t>
      </w:r>
      <w:r w:rsidRPr="00CE3954">
        <w:rPr>
          <w:rFonts w:ascii="Times New Roman" w:hAnsi="Times New Roman" w:cs="Times New Roman"/>
          <w:sz w:val="24"/>
        </w:rPr>
        <w:t xml:space="preserve">, R., </w:t>
      </w:r>
      <w:r w:rsidRPr="00CE3954">
        <w:rPr>
          <w:rFonts w:ascii="Times New Roman" w:hAnsi="Times New Roman" w:cs="Times New Roman"/>
          <w:sz w:val="24"/>
        </w:rPr>
        <w:t>Handfield</w:t>
      </w:r>
      <w:r w:rsidRPr="00CE3954">
        <w:rPr>
          <w:rFonts w:ascii="Times New Roman" w:hAnsi="Times New Roman" w:cs="Times New Roman"/>
          <w:sz w:val="24"/>
        </w:rPr>
        <w:t xml:space="preserve">, R., </w:t>
      </w:r>
      <w:r w:rsidRPr="00CE3954">
        <w:rPr>
          <w:rFonts w:ascii="Times New Roman" w:hAnsi="Times New Roman" w:cs="Times New Roman"/>
          <w:sz w:val="24"/>
        </w:rPr>
        <w:t>Giunipero</w:t>
      </w:r>
      <w:r w:rsidRPr="00CE3954">
        <w:rPr>
          <w:rFonts w:ascii="Times New Roman" w:hAnsi="Times New Roman" w:cs="Times New Roman"/>
          <w:sz w:val="24"/>
        </w:rPr>
        <w:t>, L., &amp; Patterson, J. (2015).</w:t>
      </w:r>
      <w:r w:rsidR="00CE3954">
        <w:rPr>
          <w:rFonts w:ascii="Times New Roman" w:hAnsi="Times New Roman" w:cs="Times New Roman"/>
          <w:sz w:val="24"/>
        </w:rPr>
        <w:t xml:space="preserve"> </w:t>
      </w:r>
      <w:r w:rsidRPr="00CE3954">
        <w:rPr>
          <w:rFonts w:ascii="Times New Roman" w:hAnsi="Times New Roman" w:cs="Times New Roman"/>
          <w:sz w:val="24"/>
        </w:rPr>
        <w:t>Purchasing and supply chain management. Cengage Learning.</w:t>
      </w:r>
    </w:p>
    <w:p w:rsidR="006F38ED" w:rsidRPr="00CE3954" w:rsidP="00CE3954">
      <w:pPr>
        <w:spacing w:after="0" w:line="480" w:lineRule="auto"/>
        <w:ind w:left="720" w:hanging="720"/>
        <w:rPr>
          <w:rFonts w:ascii="Times New Roman" w:hAnsi="Times New Roman" w:cs="Times New Roman"/>
          <w:sz w:val="24"/>
        </w:rPr>
      </w:pPr>
      <w:r w:rsidRPr="00CE3954">
        <w:rPr>
          <w:rFonts w:ascii="Times New Roman" w:hAnsi="Times New Roman" w:cs="Times New Roman"/>
          <w:sz w:val="24"/>
        </w:rPr>
        <w:t>Pendergrast</w:t>
      </w:r>
      <w:r w:rsidRPr="00CE3954">
        <w:rPr>
          <w:rFonts w:ascii="Times New Roman" w:hAnsi="Times New Roman" w:cs="Times New Roman"/>
          <w:sz w:val="24"/>
        </w:rPr>
        <w:t>, M. (2013).</w:t>
      </w:r>
      <w:r w:rsidRPr="00CE3954">
        <w:rPr>
          <w:rFonts w:ascii="Times New Roman" w:hAnsi="Times New Roman" w:cs="Times New Roman"/>
          <w:sz w:val="24"/>
        </w:rPr>
        <w:t xml:space="preserve"> For God, country, and Coca-Cola: The definitive history of the great American soft drink and its company. </w:t>
      </w:r>
      <w:r w:rsidRPr="00CE3954">
        <w:rPr>
          <w:rFonts w:ascii="Times New Roman" w:hAnsi="Times New Roman" w:cs="Times New Roman"/>
          <w:sz w:val="24"/>
        </w:rPr>
        <w:t>Basic Books.</w:t>
      </w:r>
    </w:p>
    <w:p w:rsidR="006B7EF7" w:rsidRPr="00CE3954" w:rsidP="00CE3954">
      <w:pPr>
        <w:spacing w:after="0" w:line="480" w:lineRule="auto"/>
        <w:rPr>
          <w:rFonts w:ascii="Times New Roman" w:hAnsi="Times New Roman" w:cs="Times New Roman"/>
          <w:sz w:val="24"/>
        </w:rPr>
      </w:pPr>
    </w:p>
    <w:sectPr w:rsidSect="00871A59">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54" w:rsidRPr="00CE3954">
    <w:pPr>
      <w:pStyle w:val="Header"/>
      <w:jc w:val="right"/>
      <w:rPr>
        <w:rFonts w:ascii="Times New Roman" w:hAnsi="Times New Roman" w:cs="Times New Roman"/>
        <w:sz w:val="24"/>
      </w:rPr>
    </w:pPr>
    <w:r w:rsidRPr="00CE3954">
      <w:rPr>
        <w:rFonts w:ascii="Times New Roman" w:hAnsi="Times New Roman" w:cs="Times New Roman"/>
        <w:sz w:val="24"/>
      </w:rPr>
      <w:t>COCA-COLA SUPPLY CHAIN</w:t>
    </w:r>
    <w:r>
      <w:rPr>
        <w:rFonts w:ascii="Times New Roman" w:hAnsi="Times New Roman" w:cs="Times New Roman"/>
        <w:sz w:val="24"/>
      </w:rPr>
      <w:tab/>
    </w:r>
    <w:r w:rsidRPr="00CE3954">
      <w:rPr>
        <w:rFonts w:ascii="Times New Roman" w:hAnsi="Times New Roman" w:cs="Times New Roman"/>
        <w:sz w:val="24"/>
      </w:rPr>
      <w:tab/>
    </w:r>
    <w:sdt>
      <w:sdtPr>
        <w:rPr>
          <w:rFonts w:ascii="Times New Roman" w:hAnsi="Times New Roman" w:cs="Times New Roman"/>
          <w:sz w:val="24"/>
        </w:rPr>
        <w:id w:val="262386908"/>
        <w:docPartObj>
          <w:docPartGallery w:val="Page Numbers (Top of Page)"/>
          <w:docPartUnique/>
        </w:docPartObj>
      </w:sdtPr>
      <w:sdtContent>
        <w:r w:rsidRPr="00CE3954">
          <w:rPr>
            <w:rFonts w:ascii="Times New Roman" w:hAnsi="Times New Roman" w:cs="Times New Roman"/>
            <w:sz w:val="24"/>
          </w:rPr>
          <w:fldChar w:fldCharType="begin"/>
        </w:r>
        <w:r w:rsidRPr="00CE3954">
          <w:rPr>
            <w:rFonts w:ascii="Times New Roman" w:hAnsi="Times New Roman" w:cs="Times New Roman"/>
            <w:sz w:val="24"/>
          </w:rPr>
          <w:instrText xml:space="preserve"> PAGE   \* MERGEFORMAT </w:instrText>
        </w:r>
        <w:r w:rsidRPr="00CE3954">
          <w:rPr>
            <w:rFonts w:ascii="Times New Roman" w:hAnsi="Times New Roman" w:cs="Times New Roman"/>
            <w:sz w:val="24"/>
          </w:rPr>
          <w:fldChar w:fldCharType="separate"/>
        </w:r>
        <w:r>
          <w:rPr>
            <w:rFonts w:ascii="Times New Roman" w:hAnsi="Times New Roman" w:cs="Times New Roman"/>
            <w:noProof/>
            <w:sz w:val="24"/>
          </w:rPr>
          <w:t>6</w:t>
        </w:r>
        <w:r w:rsidRPr="00CE3954">
          <w:rPr>
            <w:rFonts w:ascii="Times New Roman" w:hAnsi="Times New Roman" w:cs="Times New Roman"/>
            <w:sz w:val="24"/>
          </w:rPr>
          <w:fldChar w:fldCharType="end"/>
        </w:r>
      </w:sdtContent>
    </w:sdt>
  </w:p>
  <w:p w:rsidR="00CE3954" w:rsidRPr="00CE395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54" w:rsidRPr="00CE3954">
    <w:pPr>
      <w:pStyle w:val="Header"/>
      <w:jc w:val="right"/>
      <w:rPr>
        <w:rFonts w:ascii="Times New Roman" w:hAnsi="Times New Roman" w:cs="Times New Roman"/>
        <w:sz w:val="24"/>
      </w:rPr>
    </w:pPr>
    <w:r w:rsidRPr="00CE3954">
      <w:rPr>
        <w:rFonts w:ascii="Times New Roman" w:hAnsi="Times New Roman" w:cs="Times New Roman"/>
        <w:sz w:val="24"/>
      </w:rPr>
      <w:t>Running Head: COCA-COLA SUPPLY CHAIN</w:t>
    </w:r>
    <w:r w:rsidRPr="00CE3954">
      <w:rPr>
        <w:rFonts w:ascii="Times New Roman" w:hAnsi="Times New Roman" w:cs="Times New Roman"/>
        <w:sz w:val="24"/>
      </w:rPr>
      <w:tab/>
    </w:r>
    <w:sdt>
      <w:sdtPr>
        <w:rPr>
          <w:rFonts w:ascii="Times New Roman" w:hAnsi="Times New Roman" w:cs="Times New Roman"/>
          <w:sz w:val="24"/>
        </w:rPr>
        <w:id w:val="262386968"/>
        <w:docPartObj>
          <w:docPartGallery w:val="Page Numbers (Top of Page)"/>
          <w:docPartUnique/>
        </w:docPartObj>
      </w:sdtPr>
      <w:sdtContent>
        <w:r w:rsidRPr="00CE3954">
          <w:rPr>
            <w:rFonts w:ascii="Times New Roman" w:hAnsi="Times New Roman" w:cs="Times New Roman"/>
            <w:sz w:val="24"/>
          </w:rPr>
          <w:fldChar w:fldCharType="begin"/>
        </w:r>
        <w:r w:rsidRPr="00CE3954">
          <w:rPr>
            <w:rFonts w:ascii="Times New Roman" w:hAnsi="Times New Roman" w:cs="Times New Roman"/>
            <w:sz w:val="24"/>
          </w:rPr>
          <w:instrText xml:space="preserve"> PAGE   \* MERGEFORMAT </w:instrText>
        </w:r>
        <w:r w:rsidRPr="00CE3954">
          <w:rPr>
            <w:rFonts w:ascii="Times New Roman" w:hAnsi="Times New Roman" w:cs="Times New Roman"/>
            <w:sz w:val="24"/>
          </w:rPr>
          <w:fldChar w:fldCharType="separate"/>
        </w:r>
        <w:r>
          <w:rPr>
            <w:rFonts w:ascii="Times New Roman" w:hAnsi="Times New Roman" w:cs="Times New Roman"/>
            <w:noProof/>
            <w:sz w:val="24"/>
          </w:rPr>
          <w:t>1</w:t>
        </w:r>
        <w:r w:rsidRPr="00CE3954">
          <w:rPr>
            <w:rFonts w:ascii="Times New Roman" w:hAnsi="Times New Roman" w:cs="Times New Roman"/>
            <w:sz w:val="24"/>
          </w:rPr>
          <w:fldChar w:fldCharType="end"/>
        </w:r>
      </w:sdtContent>
    </w:sdt>
  </w:p>
  <w:p w:rsidR="00CE3954" w:rsidRPr="00CE395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020A"/>
    <w:multiLevelType w:val="hybridMultilevel"/>
    <w:tmpl w:val="9FE8F182"/>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B03062F"/>
    <w:multiLevelType w:val="hybridMultilevel"/>
    <w:tmpl w:val="435ED8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9AB744B"/>
    <w:multiLevelType w:val="hybridMultilevel"/>
    <w:tmpl w:val="426A65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6F38ED"/>
    <w:rsid w:val="000B19D4"/>
    <w:rsid w:val="001502F8"/>
    <w:rsid w:val="001C6B7A"/>
    <w:rsid w:val="001E1276"/>
    <w:rsid w:val="002F124C"/>
    <w:rsid w:val="0033683D"/>
    <w:rsid w:val="00411806"/>
    <w:rsid w:val="00427AD7"/>
    <w:rsid w:val="0048325F"/>
    <w:rsid w:val="004E719B"/>
    <w:rsid w:val="0056474D"/>
    <w:rsid w:val="005750D0"/>
    <w:rsid w:val="005D30FD"/>
    <w:rsid w:val="0064094E"/>
    <w:rsid w:val="006B7EF7"/>
    <w:rsid w:val="006F38ED"/>
    <w:rsid w:val="0086187F"/>
    <w:rsid w:val="00871A59"/>
    <w:rsid w:val="008764AE"/>
    <w:rsid w:val="00983CEC"/>
    <w:rsid w:val="00A926C8"/>
    <w:rsid w:val="00AA02C1"/>
    <w:rsid w:val="00B55563"/>
    <w:rsid w:val="00C06089"/>
    <w:rsid w:val="00C23A19"/>
    <w:rsid w:val="00C578AA"/>
    <w:rsid w:val="00C73090"/>
    <w:rsid w:val="00CE3954"/>
    <w:rsid w:val="00D24B2D"/>
    <w:rsid w:val="00EC57BC"/>
    <w:rsid w:val="00F87D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8ED"/>
    <w:rPr>
      <w:color w:val="0000FF"/>
      <w:u w:val="single"/>
    </w:rPr>
  </w:style>
  <w:style w:type="paragraph" w:styleId="Footer">
    <w:name w:val="footer"/>
    <w:basedOn w:val="Normal"/>
    <w:link w:val="FooterChar"/>
    <w:uiPriority w:val="99"/>
    <w:unhideWhenUsed/>
    <w:rsid w:val="006F3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8ED"/>
  </w:style>
  <w:style w:type="paragraph" w:styleId="ListParagraph">
    <w:name w:val="List Paragraph"/>
    <w:basedOn w:val="Normal"/>
    <w:uiPriority w:val="34"/>
    <w:qFormat/>
    <w:rsid w:val="00871A59"/>
    <w:pPr>
      <w:ind w:left="720"/>
      <w:contextualSpacing/>
    </w:pPr>
  </w:style>
  <w:style w:type="paragraph" w:styleId="Header">
    <w:name w:val="header"/>
    <w:basedOn w:val="Normal"/>
    <w:link w:val="HeaderChar"/>
    <w:uiPriority w:val="99"/>
    <w:unhideWhenUsed/>
    <w:rsid w:val="00C7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0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ca-cola.com/global/glp.html" TargetMode="External" /><Relationship Id="rId5" Type="http://schemas.openxmlformats.org/officeDocument/2006/relationships/hyperlink" Target="https://www.coindesk.com/coca-cola-supply-chain-firm-to-expand-blockchain-effort-to-70-partner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1170</TotalTime>
  <Pages>7</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2020-08-07T10:33:00Z</dcterms:created>
  <dcterms:modified xsi:type="dcterms:W3CDTF">2020-08-08T07:00:00Z</dcterms:modified>
</cp:coreProperties>
</file>